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A084" w14:textId="6E1F8A32" w:rsidR="003058C7" w:rsidRPr="00DD4F4E" w:rsidRDefault="00DD4F4E" w:rsidP="003058C7">
      <w:pPr>
        <w:spacing w:after="0"/>
        <w:rPr>
          <w:color w:val="002060"/>
        </w:rPr>
      </w:pPr>
      <w:r w:rsidRPr="00DD4F4E">
        <w:rPr>
          <w:color w:val="002060"/>
        </w:rPr>
        <w:t>[Votre entête]</w:t>
      </w:r>
    </w:p>
    <w:tbl>
      <w:tblPr>
        <w:tblStyle w:val="Grilledutableau"/>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42"/>
      </w:tblGrid>
      <w:tr w:rsidR="003058C7" w14:paraId="65B2681C" w14:textId="77777777" w:rsidTr="00AB73A2">
        <w:tc>
          <w:tcPr>
            <w:tcW w:w="4672" w:type="dxa"/>
          </w:tcPr>
          <w:p w14:paraId="6421E648" w14:textId="77777777" w:rsidR="003058C7" w:rsidRDefault="003058C7" w:rsidP="005A19FD"/>
          <w:p w14:paraId="038C3B97" w14:textId="77777777" w:rsidR="00AB73A2" w:rsidRDefault="00AB73A2" w:rsidP="005A19FD"/>
          <w:p w14:paraId="0B470319" w14:textId="1437237B" w:rsidR="00AB73A2" w:rsidRDefault="00AB73A2" w:rsidP="005A19FD"/>
        </w:tc>
        <w:tc>
          <w:tcPr>
            <w:tcW w:w="4542" w:type="dxa"/>
          </w:tcPr>
          <w:p w14:paraId="3E4E8789" w14:textId="6A492C58" w:rsidR="003058C7" w:rsidRDefault="003058C7" w:rsidP="005A19FD">
            <w:pPr>
              <w:jc w:val="right"/>
            </w:pPr>
          </w:p>
        </w:tc>
      </w:tr>
    </w:tbl>
    <w:p w14:paraId="0850F61B" w14:textId="77777777" w:rsidR="003058C7" w:rsidRDefault="003058C7" w:rsidP="003058C7">
      <w:pPr>
        <w:spacing w:after="0"/>
      </w:pPr>
    </w:p>
    <w:p w14:paraId="24FE2DEC" w14:textId="77777777" w:rsidR="003058C7" w:rsidRDefault="003058C7" w:rsidP="003058C7">
      <w:pPr>
        <w:spacing w:after="0"/>
      </w:pPr>
    </w:p>
    <w:p w14:paraId="46346E7B" w14:textId="5ABAF16D" w:rsidR="005212E3" w:rsidRPr="002A21B1" w:rsidRDefault="002A21B1" w:rsidP="003058C7">
      <w:pPr>
        <w:spacing w:after="0"/>
        <w:rPr>
          <w:i/>
          <w:iCs/>
          <w:color w:val="002060"/>
        </w:rPr>
      </w:pPr>
      <w:r>
        <w:tab/>
      </w:r>
      <w:r>
        <w:tab/>
      </w:r>
      <w:r>
        <w:tab/>
      </w:r>
      <w:r>
        <w:tab/>
      </w:r>
      <w:r>
        <w:tab/>
      </w:r>
      <w:r>
        <w:tab/>
      </w:r>
      <w:r>
        <w:tab/>
      </w:r>
      <w:r>
        <w:tab/>
      </w:r>
      <w:r w:rsidRPr="002A21B1">
        <w:rPr>
          <w:i/>
          <w:iCs/>
          <w:color w:val="002060"/>
        </w:rPr>
        <w:t xml:space="preserve">Date </w:t>
      </w:r>
    </w:p>
    <w:p w14:paraId="647F43EA" w14:textId="6E891EAA" w:rsidR="003058C7" w:rsidRPr="002A21B1" w:rsidRDefault="003058C7" w:rsidP="002A21B1">
      <w:pPr>
        <w:spacing w:after="0" w:line="259" w:lineRule="auto"/>
        <w:ind w:left="2832"/>
        <w:jc w:val="right"/>
      </w:pPr>
    </w:p>
    <w:p w14:paraId="015D630B" w14:textId="12EE4ADE" w:rsidR="003058C7" w:rsidRPr="002A21B1" w:rsidRDefault="002A21B1" w:rsidP="003058C7">
      <w:pPr>
        <w:spacing w:after="0"/>
        <w:ind w:left="4820"/>
      </w:pPr>
      <w:r w:rsidRPr="002A21B1">
        <w:tab/>
      </w:r>
      <w:r w:rsidRPr="002A21B1">
        <w:tab/>
      </w:r>
      <w:r>
        <w:t xml:space="preserve">M. Le Député </w:t>
      </w:r>
      <w:r w:rsidRPr="002A21B1">
        <w:rPr>
          <w:i/>
          <w:iCs/>
          <w:color w:val="002060"/>
        </w:rPr>
        <w:t>[Nom + adresse]</w:t>
      </w:r>
    </w:p>
    <w:p w14:paraId="76AD5A36" w14:textId="77777777" w:rsidR="003058C7" w:rsidRPr="00300233" w:rsidRDefault="003058C7" w:rsidP="003058C7">
      <w:pPr>
        <w:spacing w:after="0"/>
        <w:ind w:left="4820"/>
        <w:rPr>
          <w:highlight w:val="yellow"/>
        </w:rPr>
      </w:pPr>
    </w:p>
    <w:p w14:paraId="736AB2D1" w14:textId="77777777" w:rsidR="003058C7" w:rsidRPr="00300233" w:rsidRDefault="003058C7" w:rsidP="003058C7">
      <w:pPr>
        <w:spacing w:after="0"/>
        <w:ind w:left="4820"/>
        <w:rPr>
          <w:highlight w:val="yellow"/>
        </w:rPr>
      </w:pPr>
    </w:p>
    <w:p w14:paraId="5F5AE234" w14:textId="77777777" w:rsidR="003058C7" w:rsidRPr="00300233" w:rsidRDefault="003058C7" w:rsidP="003058C7">
      <w:pPr>
        <w:spacing w:after="0"/>
        <w:ind w:left="4820"/>
        <w:rPr>
          <w:highlight w:val="yellow"/>
        </w:rPr>
      </w:pPr>
    </w:p>
    <w:p w14:paraId="16DFA17D" w14:textId="77777777" w:rsidR="003058C7" w:rsidRDefault="003058C7" w:rsidP="003058C7">
      <w:pPr>
        <w:spacing w:after="0"/>
      </w:pPr>
    </w:p>
    <w:p w14:paraId="1C42F3FB" w14:textId="77777777" w:rsidR="003058C7" w:rsidRDefault="003058C7" w:rsidP="003058C7">
      <w:pPr>
        <w:tabs>
          <w:tab w:val="left" w:pos="1520"/>
        </w:tabs>
        <w:spacing w:after="0"/>
      </w:pPr>
    </w:p>
    <w:p w14:paraId="4F96A72B" w14:textId="77777777" w:rsidR="00340AB9" w:rsidRDefault="00340AB9" w:rsidP="003058C7">
      <w:pPr>
        <w:tabs>
          <w:tab w:val="left" w:pos="1520"/>
        </w:tabs>
        <w:spacing w:after="0"/>
      </w:pPr>
    </w:p>
    <w:p w14:paraId="6198054B" w14:textId="77777777" w:rsidR="00FF50D2" w:rsidRDefault="00FF50D2" w:rsidP="003058C7">
      <w:pPr>
        <w:tabs>
          <w:tab w:val="left" w:pos="1520"/>
        </w:tabs>
        <w:spacing w:after="0"/>
      </w:pPr>
    </w:p>
    <w:p w14:paraId="201004EF" w14:textId="77777777" w:rsidR="003058C7" w:rsidRPr="002A21B1" w:rsidRDefault="003058C7" w:rsidP="00D007CD">
      <w:pPr>
        <w:spacing w:after="0"/>
        <w:jc w:val="both"/>
        <w:rPr>
          <w:color w:val="002060"/>
        </w:rPr>
      </w:pPr>
      <w:bookmarkStart w:id="0" w:name="_Hlk12463729"/>
      <w:r w:rsidRPr="002A21B1">
        <w:rPr>
          <w:color w:val="002060"/>
        </w:rPr>
        <w:t>Madame la Députée, Monsieur le Député,</w:t>
      </w:r>
    </w:p>
    <w:p w14:paraId="219A13E0" w14:textId="77777777" w:rsidR="003058C7" w:rsidRPr="002A21B1" w:rsidRDefault="003058C7" w:rsidP="00D007CD">
      <w:pPr>
        <w:spacing w:after="0"/>
        <w:jc w:val="both"/>
        <w:rPr>
          <w:color w:val="002060"/>
        </w:rPr>
      </w:pPr>
      <w:r w:rsidRPr="002A21B1">
        <w:rPr>
          <w:color w:val="002060"/>
        </w:rPr>
        <w:t>Madame la Sénatrice, Monsieur le Sénateur,</w:t>
      </w:r>
    </w:p>
    <w:p w14:paraId="2EF9440E" w14:textId="77777777" w:rsidR="00AB73A2" w:rsidRPr="002A21B1" w:rsidRDefault="00AB73A2" w:rsidP="00D007CD">
      <w:pPr>
        <w:spacing w:after="0"/>
        <w:jc w:val="both"/>
        <w:rPr>
          <w:color w:val="002060"/>
        </w:rPr>
      </w:pPr>
    </w:p>
    <w:p w14:paraId="2BB49219" w14:textId="1852EA3C" w:rsidR="00814EF7" w:rsidRPr="005D40B6" w:rsidRDefault="002A21B1" w:rsidP="00D007CD">
      <w:pPr>
        <w:spacing w:after="0"/>
        <w:jc w:val="both"/>
        <w:rPr>
          <w:b/>
        </w:rPr>
      </w:pPr>
      <w:r>
        <w:t>Propriétaire dans les Belleville en Savoie, l</w:t>
      </w:r>
      <w:r w:rsidR="00F25FF1">
        <w:t>a locatio</w:t>
      </w:r>
      <w:r w:rsidR="00AB73A2">
        <w:t>n</w:t>
      </w:r>
      <w:r w:rsidR="00F25FF1">
        <w:t xml:space="preserve"> des meublés </w:t>
      </w:r>
      <w:r w:rsidR="00AB73A2">
        <w:t>de tourisme</w:t>
      </w:r>
      <w:r w:rsidR="00D007CD">
        <w:t xml:space="preserve"> </w:t>
      </w:r>
      <w:r w:rsidR="005212E3">
        <w:t xml:space="preserve">permet </w:t>
      </w:r>
      <w:r>
        <w:t>aux</w:t>
      </w:r>
      <w:r w:rsidR="005212E3">
        <w:t xml:space="preserve"> stations de montagne</w:t>
      </w:r>
      <w:r w:rsidR="00D007CD">
        <w:t>,</w:t>
      </w:r>
      <w:r w:rsidR="005212E3">
        <w:t xml:space="preserve"> </w:t>
      </w:r>
      <w:r w:rsidR="00D007CD">
        <w:t xml:space="preserve">en complément de l’offre hôtelière ou des résidences de tourisme, </w:t>
      </w:r>
      <w:r w:rsidR="005212E3">
        <w:t xml:space="preserve">d’accueillir les vacanciers dans de bonnes conditions et </w:t>
      </w:r>
      <w:r w:rsidR="00D007CD">
        <w:t>ainsi de faire fonctionner une activité économique qui emploie des dizaines de milli</w:t>
      </w:r>
      <w:r w:rsidR="00814EF7">
        <w:t>e</w:t>
      </w:r>
      <w:r w:rsidR="00D007CD">
        <w:t xml:space="preserve">rs de personnes </w:t>
      </w:r>
      <w:r w:rsidR="00814EF7">
        <w:t>et</w:t>
      </w:r>
      <w:r w:rsidR="00D007CD">
        <w:t xml:space="preserve"> fait vi</w:t>
      </w:r>
      <w:r w:rsidR="00814EF7">
        <w:t>vre</w:t>
      </w:r>
      <w:r w:rsidR="00D007CD">
        <w:t xml:space="preserve"> </w:t>
      </w:r>
      <w:r w:rsidR="00814EF7">
        <w:t xml:space="preserve">des familles entières sur </w:t>
      </w:r>
      <w:r>
        <w:t>ces</w:t>
      </w:r>
      <w:r w:rsidR="00814EF7">
        <w:t xml:space="preserve"> territoires.</w:t>
      </w:r>
      <w:r w:rsidR="005D40B6">
        <w:t xml:space="preserve"> </w:t>
      </w:r>
      <w:r w:rsidR="005D40B6" w:rsidRPr="005D40B6">
        <w:rPr>
          <w:b/>
        </w:rPr>
        <w:t xml:space="preserve">Il s’agit d’un véritable outil de production pour </w:t>
      </w:r>
      <w:r>
        <w:rPr>
          <w:b/>
        </w:rPr>
        <w:t>le</w:t>
      </w:r>
      <w:r w:rsidR="005D40B6" w:rsidRPr="005D40B6">
        <w:rPr>
          <w:b/>
        </w:rPr>
        <w:t>s stations.</w:t>
      </w:r>
    </w:p>
    <w:p w14:paraId="495587B9" w14:textId="77777777" w:rsidR="00814EF7" w:rsidRDefault="00814EF7" w:rsidP="00D007CD">
      <w:pPr>
        <w:spacing w:after="0"/>
        <w:jc w:val="both"/>
      </w:pPr>
    </w:p>
    <w:p w14:paraId="71449859" w14:textId="77777777" w:rsidR="000B144B" w:rsidRDefault="005212E3" w:rsidP="00D007CD">
      <w:pPr>
        <w:spacing w:after="0"/>
        <w:jc w:val="both"/>
      </w:pPr>
      <w:r w:rsidRPr="00D007CD">
        <w:rPr>
          <w:b/>
        </w:rPr>
        <w:t>Nous sommes parfaitement conscients que tous les territoires touristique</w:t>
      </w:r>
      <w:r w:rsidR="000B144B" w:rsidRPr="00D007CD">
        <w:rPr>
          <w:b/>
        </w:rPr>
        <w:t>s</w:t>
      </w:r>
      <w:r w:rsidRPr="00D007CD">
        <w:rPr>
          <w:b/>
        </w:rPr>
        <w:t xml:space="preserve"> ne se ressemblent pas</w:t>
      </w:r>
      <w:r w:rsidR="000B144B">
        <w:t xml:space="preserve"> et que ce sujet de la location</w:t>
      </w:r>
      <w:r w:rsidR="00D007CD">
        <w:t xml:space="preserve"> </w:t>
      </w:r>
      <w:r w:rsidR="000B144B">
        <w:t>des meublés touristiques ne se pose pa</w:t>
      </w:r>
      <w:r w:rsidR="00814EF7">
        <w:t>s avec la même acuité e</w:t>
      </w:r>
      <w:r w:rsidR="000B144B">
        <w:t>n station de montagne ou à Biarritz</w:t>
      </w:r>
      <w:r w:rsidR="00814EF7">
        <w:t xml:space="preserve"> par exemple</w:t>
      </w:r>
      <w:r w:rsidR="000B144B">
        <w:t>.</w:t>
      </w:r>
    </w:p>
    <w:p w14:paraId="6F958DDB" w14:textId="77777777" w:rsidR="000B144B" w:rsidRDefault="000B144B" w:rsidP="00D007CD">
      <w:pPr>
        <w:spacing w:after="0"/>
        <w:jc w:val="both"/>
      </w:pPr>
    </w:p>
    <w:p w14:paraId="577010C1" w14:textId="0FF12C76" w:rsidR="000B144B" w:rsidRDefault="00AB73A2" w:rsidP="00D007CD">
      <w:pPr>
        <w:spacing w:after="0"/>
        <w:jc w:val="both"/>
      </w:pPr>
      <w:r>
        <w:t xml:space="preserve">Le gouvernement a souhaité répondre </w:t>
      </w:r>
      <w:r w:rsidR="005212E3">
        <w:t xml:space="preserve">aux difficultés rencontrées actuellement dans certains de ces territoires lesquels sont confrontés à l’excès de locations </w:t>
      </w:r>
      <w:r w:rsidR="00D007CD">
        <w:t xml:space="preserve">de meublés </w:t>
      </w:r>
      <w:r w:rsidR="005212E3">
        <w:t xml:space="preserve">au détriment des habitants. </w:t>
      </w:r>
      <w:r w:rsidR="005212E3" w:rsidRPr="00D007CD">
        <w:rPr>
          <w:b/>
        </w:rPr>
        <w:t>Cependant</w:t>
      </w:r>
      <w:r w:rsidR="00D007CD" w:rsidRPr="00D007CD">
        <w:rPr>
          <w:b/>
        </w:rPr>
        <w:t>,</w:t>
      </w:r>
      <w:r w:rsidR="000B144B" w:rsidRPr="00D007CD">
        <w:rPr>
          <w:b/>
        </w:rPr>
        <w:t xml:space="preserve"> celui-ci</w:t>
      </w:r>
      <w:r w:rsidR="003058C7" w:rsidRPr="00D007CD">
        <w:rPr>
          <w:b/>
        </w:rPr>
        <w:t xml:space="preserve"> a semble-t-il en tête une vision parcellaire du sujet, focalisé sur des territoires comme celui de Biarritz</w:t>
      </w:r>
      <w:r w:rsidR="003058C7">
        <w:t xml:space="preserve"> où il existe en effet une véritable difficulté liée à la location de meublés via </w:t>
      </w:r>
      <w:r w:rsidR="002A21B1">
        <w:t>certaines plateformes</w:t>
      </w:r>
      <w:r w:rsidR="00F25FF1">
        <w:t xml:space="preserve"> dont </w:t>
      </w:r>
      <w:r w:rsidR="003058C7">
        <w:t>principalemen</w:t>
      </w:r>
      <w:r w:rsidR="00F25FF1">
        <w:t xml:space="preserve">t </w:t>
      </w:r>
      <w:r w:rsidR="003058C7">
        <w:t>Airbnb.</w:t>
      </w:r>
    </w:p>
    <w:p w14:paraId="013FA23F" w14:textId="77777777" w:rsidR="000B144B" w:rsidRDefault="000B144B" w:rsidP="00D007CD">
      <w:pPr>
        <w:spacing w:after="0"/>
        <w:jc w:val="both"/>
      </w:pPr>
    </w:p>
    <w:p w14:paraId="013FEE1B" w14:textId="5E3F1F5D" w:rsidR="003058C7" w:rsidRDefault="003058C7" w:rsidP="00D007CD">
      <w:pPr>
        <w:spacing w:after="0"/>
        <w:jc w:val="both"/>
        <w:rPr>
          <w:b/>
        </w:rPr>
      </w:pPr>
      <w:r w:rsidRPr="00D007CD">
        <w:rPr>
          <w:b/>
        </w:rPr>
        <w:t>Si ce type de location se trouv</w:t>
      </w:r>
      <w:r w:rsidR="000B144B" w:rsidRPr="00D007CD">
        <w:rPr>
          <w:b/>
        </w:rPr>
        <w:t>ait</w:t>
      </w:r>
      <w:r w:rsidRPr="00D007CD">
        <w:rPr>
          <w:b/>
        </w:rPr>
        <w:t xml:space="preserve"> limité en stations de montagne, en raison d’un régime fiscal moins favorable, c’est toute l’activité du territoire qui en subira</w:t>
      </w:r>
      <w:r w:rsidR="000B144B" w:rsidRPr="00D007CD">
        <w:rPr>
          <w:b/>
        </w:rPr>
        <w:t>it</w:t>
      </w:r>
      <w:r w:rsidRPr="00D007CD">
        <w:rPr>
          <w:b/>
        </w:rPr>
        <w:t xml:space="preserve"> les conséquences</w:t>
      </w:r>
      <w:r>
        <w:t>.</w:t>
      </w:r>
      <w:r w:rsidR="000B144B">
        <w:t xml:space="preserve"> </w:t>
      </w:r>
      <w:r>
        <w:t>En stations, les plateformes ont globalement réussi ce que les pouvoirs publics n’ont jamais pu faire : remettre de la location sur le marché et lutter contre les fameux « lits froids ». Il faut également avoir en tête que la mise en œuvre du DPE sur l’ensemble des logements (et non plus uniquement sur la résidence principale), qui interviendra nécessairement d</w:t>
      </w:r>
      <w:r w:rsidR="000B144B">
        <w:t>ans les mois à venir</w:t>
      </w:r>
      <w:r>
        <w:t xml:space="preserve">, sera ressentie par </w:t>
      </w:r>
      <w:r w:rsidR="002A21B1">
        <w:t>l</w:t>
      </w:r>
      <w:r>
        <w:t xml:space="preserve">es loueurs comme une double peine dans un contexte économique difficile. </w:t>
      </w:r>
      <w:r w:rsidRPr="00D007CD">
        <w:rPr>
          <w:b/>
        </w:rPr>
        <w:t>Au lieu de favoriser la rénovation énergétique, ce double dispositif risque au contraire de retirer de très nombreux logements du marché de la location.</w:t>
      </w:r>
    </w:p>
    <w:p w14:paraId="2E91361F" w14:textId="77777777" w:rsidR="00300233" w:rsidRPr="00D007CD" w:rsidRDefault="00300233" w:rsidP="00D007CD">
      <w:pPr>
        <w:spacing w:after="0"/>
        <w:jc w:val="both"/>
        <w:rPr>
          <w:b/>
        </w:rPr>
      </w:pPr>
    </w:p>
    <w:p w14:paraId="7F063F7D" w14:textId="28CEE04C" w:rsidR="003058C7" w:rsidRDefault="002A21B1" w:rsidP="00D007CD">
      <w:pPr>
        <w:spacing w:after="0"/>
        <w:jc w:val="both"/>
      </w:pPr>
      <w:r>
        <w:t>V</w:t>
      </w:r>
      <w:r w:rsidR="000B144B">
        <w:t>oici en quelques mots les ra</w:t>
      </w:r>
      <w:r w:rsidR="003058C7">
        <w:t>isons pour lesquelles il essentiel de maintenir un dispositif suffisant d’incitation fiscale pour les meublés de tourisme</w:t>
      </w:r>
      <w:r w:rsidR="000B144B">
        <w:t> :</w:t>
      </w:r>
    </w:p>
    <w:p w14:paraId="2DBE927A" w14:textId="77777777" w:rsidR="00300233" w:rsidRDefault="00300233" w:rsidP="00D007CD">
      <w:pPr>
        <w:spacing w:after="0"/>
        <w:jc w:val="both"/>
      </w:pPr>
    </w:p>
    <w:p w14:paraId="030613BD" w14:textId="7063A67C" w:rsidR="00300233" w:rsidRDefault="002A21B1" w:rsidP="00300233">
      <w:pPr>
        <w:pStyle w:val="Paragraphedeliste"/>
        <w:numPr>
          <w:ilvl w:val="0"/>
          <w:numId w:val="3"/>
        </w:numPr>
        <w:spacing w:after="0" w:line="240" w:lineRule="auto"/>
        <w:jc w:val="both"/>
        <w:rPr>
          <w:rFonts w:eastAsia="Times New Roman"/>
        </w:rPr>
      </w:pPr>
      <w:r w:rsidRPr="000B144B">
        <w:rPr>
          <w:rFonts w:eastAsia="Times New Roman"/>
        </w:rPr>
        <w:t>Le</w:t>
      </w:r>
      <w:r w:rsidR="003058C7" w:rsidRPr="000B144B">
        <w:rPr>
          <w:rFonts w:eastAsia="Times New Roman"/>
        </w:rPr>
        <w:t xml:space="preserve"> parc de logements touristiques en montagne est </w:t>
      </w:r>
      <w:r w:rsidR="003058C7" w:rsidRPr="000B144B">
        <w:rPr>
          <w:rFonts w:eastAsia="Times New Roman"/>
          <w:b/>
          <w:bCs/>
        </w:rPr>
        <w:t>constitué à plus de 80% de résidences secondaires (unique en France)</w:t>
      </w:r>
      <w:r w:rsidR="003058C7" w:rsidRPr="000B144B">
        <w:rPr>
          <w:rFonts w:eastAsia="Times New Roman"/>
        </w:rPr>
        <w:t>, pour la plupart en copropriétés de 30 ans ou plus</w:t>
      </w:r>
    </w:p>
    <w:p w14:paraId="1B2FDCBB" w14:textId="3F72343B" w:rsidR="003338EB" w:rsidRPr="00300233" w:rsidRDefault="002A21B1" w:rsidP="00300233">
      <w:pPr>
        <w:pStyle w:val="Paragraphedeliste"/>
        <w:numPr>
          <w:ilvl w:val="0"/>
          <w:numId w:val="3"/>
        </w:numPr>
        <w:spacing w:after="0" w:line="240" w:lineRule="auto"/>
        <w:jc w:val="both"/>
        <w:rPr>
          <w:rFonts w:eastAsia="Times New Roman"/>
        </w:rPr>
      </w:pPr>
      <w:r w:rsidRPr="00300233">
        <w:rPr>
          <w:rFonts w:eastAsia="Times New Roman"/>
        </w:rPr>
        <w:t>Environ</w:t>
      </w:r>
      <w:r w:rsidR="003058C7" w:rsidRPr="00300233">
        <w:rPr>
          <w:rFonts w:eastAsia="Times New Roman"/>
        </w:rPr>
        <w:t xml:space="preserve"> </w:t>
      </w:r>
      <w:r w:rsidR="003058C7" w:rsidRPr="00300233">
        <w:rPr>
          <w:rFonts w:eastAsia="Times New Roman"/>
          <w:b/>
          <w:bCs/>
        </w:rPr>
        <w:t>1/3 des propriétaires louent leur bien</w:t>
      </w:r>
      <w:r w:rsidR="003058C7" w:rsidRPr="00300233">
        <w:rPr>
          <w:rFonts w:eastAsia="Times New Roman"/>
        </w:rPr>
        <w:t xml:space="preserve"> (avec une moyenne locative de </w:t>
      </w:r>
      <w:r>
        <w:rPr>
          <w:rFonts w:eastAsia="Times New Roman"/>
        </w:rPr>
        <w:t>12-15</w:t>
      </w:r>
      <w:r w:rsidR="003058C7" w:rsidRPr="00300233">
        <w:rPr>
          <w:rFonts w:eastAsia="Times New Roman"/>
        </w:rPr>
        <w:t xml:space="preserve"> semaines/an dans les stations de montagne)</w:t>
      </w:r>
    </w:p>
    <w:p w14:paraId="1633A5B7" w14:textId="14455306" w:rsidR="003058C7" w:rsidRPr="000B144B" w:rsidRDefault="002A21B1" w:rsidP="00D007CD">
      <w:pPr>
        <w:pStyle w:val="Paragraphedeliste"/>
        <w:numPr>
          <w:ilvl w:val="0"/>
          <w:numId w:val="3"/>
        </w:numPr>
        <w:spacing w:after="0" w:line="240" w:lineRule="auto"/>
        <w:jc w:val="both"/>
        <w:rPr>
          <w:rFonts w:eastAsia="Times New Roman"/>
        </w:rPr>
      </w:pPr>
      <w:r w:rsidRPr="000B144B">
        <w:rPr>
          <w:rFonts w:eastAsia="Times New Roman"/>
        </w:rPr>
        <w:lastRenderedPageBreak/>
        <w:t>La</w:t>
      </w:r>
      <w:r w:rsidR="003058C7" w:rsidRPr="000B144B">
        <w:rPr>
          <w:rFonts w:eastAsia="Times New Roman"/>
        </w:rPr>
        <w:t xml:space="preserve"> mise en marché des résidences secondaires repose avant tout sur un </w:t>
      </w:r>
      <w:r w:rsidR="003058C7" w:rsidRPr="000B144B">
        <w:rPr>
          <w:rFonts w:eastAsia="Times New Roman"/>
          <w:b/>
          <w:bCs/>
        </w:rPr>
        <w:t>besoin de recette locative (le plus souvent pour couvrir les charges de fonctionnement et travaux d’entretien/rénovation)</w:t>
      </w:r>
    </w:p>
    <w:p w14:paraId="5669154D" w14:textId="79763F38" w:rsidR="003058C7" w:rsidRPr="000B144B" w:rsidRDefault="002A21B1" w:rsidP="00D007CD">
      <w:pPr>
        <w:pStyle w:val="Paragraphedeliste"/>
        <w:numPr>
          <w:ilvl w:val="0"/>
          <w:numId w:val="3"/>
        </w:numPr>
        <w:spacing w:after="0" w:line="240" w:lineRule="auto"/>
        <w:jc w:val="both"/>
        <w:rPr>
          <w:rFonts w:eastAsia="Times New Roman"/>
        </w:rPr>
      </w:pPr>
      <w:r w:rsidRPr="000B144B">
        <w:rPr>
          <w:rFonts w:eastAsia="Times New Roman"/>
        </w:rPr>
        <w:t>Les</w:t>
      </w:r>
      <w:r w:rsidR="003058C7" w:rsidRPr="000B144B">
        <w:rPr>
          <w:rFonts w:eastAsia="Times New Roman"/>
        </w:rPr>
        <w:t xml:space="preserve"> </w:t>
      </w:r>
      <w:r w:rsidR="003058C7" w:rsidRPr="000B144B">
        <w:rPr>
          <w:rFonts w:eastAsia="Times New Roman"/>
          <w:b/>
          <w:bCs/>
        </w:rPr>
        <w:t>mécanismes d’incitations fiscales</w:t>
      </w:r>
      <w:r w:rsidR="003058C7" w:rsidRPr="000B144B">
        <w:rPr>
          <w:rFonts w:eastAsia="Times New Roman"/>
        </w:rPr>
        <w:t xml:space="preserve"> à la mise en location est la conséquence assumée du </w:t>
      </w:r>
      <w:r w:rsidR="003058C7" w:rsidRPr="000B144B">
        <w:rPr>
          <w:rFonts w:eastAsia="Times New Roman"/>
          <w:b/>
          <w:bCs/>
        </w:rPr>
        <w:t xml:space="preserve">modèle de développement de l’offre d’hébergement touristique fondé sur la mobilisation de l’épargne des </w:t>
      </w:r>
      <w:proofErr w:type="gramStart"/>
      <w:r w:rsidR="003058C7" w:rsidRPr="000B144B">
        <w:rPr>
          <w:rFonts w:eastAsia="Times New Roman"/>
          <w:b/>
          <w:bCs/>
        </w:rPr>
        <w:t>français</w:t>
      </w:r>
      <w:proofErr w:type="gramEnd"/>
      <w:r w:rsidR="003058C7" w:rsidRPr="000B144B">
        <w:rPr>
          <w:rFonts w:eastAsia="Times New Roman"/>
        </w:rPr>
        <w:t xml:space="preserve">, renforcée dans une optique de qualité via le </w:t>
      </w:r>
      <w:r w:rsidR="003058C7" w:rsidRPr="000B144B">
        <w:rPr>
          <w:rFonts w:eastAsia="Times New Roman"/>
          <w:b/>
          <w:bCs/>
        </w:rPr>
        <w:t>classement national des meublés de tourisme</w:t>
      </w:r>
    </w:p>
    <w:p w14:paraId="1863112D" w14:textId="5AB5C7E1" w:rsidR="003058C7" w:rsidRPr="000B144B" w:rsidRDefault="002A21B1" w:rsidP="00D007CD">
      <w:pPr>
        <w:pStyle w:val="Paragraphedeliste"/>
        <w:numPr>
          <w:ilvl w:val="0"/>
          <w:numId w:val="3"/>
        </w:numPr>
        <w:spacing w:after="0" w:line="240" w:lineRule="auto"/>
        <w:jc w:val="both"/>
        <w:rPr>
          <w:rFonts w:eastAsia="Times New Roman"/>
        </w:rPr>
      </w:pPr>
      <w:r w:rsidRPr="000B144B">
        <w:rPr>
          <w:rFonts w:eastAsia="Times New Roman"/>
        </w:rPr>
        <w:t>Une</w:t>
      </w:r>
      <w:r w:rsidR="003058C7" w:rsidRPr="000B144B">
        <w:rPr>
          <w:rFonts w:eastAsia="Times New Roman"/>
        </w:rPr>
        <w:t xml:space="preserve"> </w:t>
      </w:r>
      <w:r w:rsidR="003058C7" w:rsidRPr="000B144B">
        <w:rPr>
          <w:rFonts w:eastAsia="Times New Roman"/>
          <w:b/>
          <w:bCs/>
        </w:rPr>
        <w:t>réduction de l’abattement fiscal de 71% aurait un double effet sur la location via les plateforme</w:t>
      </w:r>
      <w:r>
        <w:rPr>
          <w:rFonts w:eastAsia="Times New Roman"/>
          <w:b/>
          <w:bCs/>
        </w:rPr>
        <w:t>s</w:t>
      </w:r>
      <w:r w:rsidR="003058C7" w:rsidRPr="000B144B">
        <w:rPr>
          <w:rFonts w:eastAsia="Times New Roman"/>
          <w:b/>
          <w:bCs/>
        </w:rPr>
        <w:t>, seule réponse actuellement en montagne contre les lits froids</w:t>
      </w:r>
      <w:r w:rsidR="003058C7" w:rsidRPr="000B144B">
        <w:rPr>
          <w:rFonts w:eastAsia="Times New Roman"/>
        </w:rPr>
        <w:t>, (</w:t>
      </w:r>
      <w:r w:rsidRPr="000B144B">
        <w:rPr>
          <w:rFonts w:eastAsia="Times New Roman"/>
        </w:rPr>
        <w:t>situation différente</w:t>
      </w:r>
      <w:r w:rsidR="003058C7" w:rsidRPr="000B144B">
        <w:rPr>
          <w:rFonts w:eastAsia="Times New Roman"/>
        </w:rPr>
        <w:t xml:space="preserve"> pour d’autres territoires) avec une augmentation de la location dite « au noir », et un rejet vis-à-vis du DPE qui serait considéré comme la double peine</w:t>
      </w:r>
    </w:p>
    <w:p w14:paraId="2B96BBE6" w14:textId="368DA850" w:rsidR="003058C7" w:rsidRPr="000B144B" w:rsidRDefault="002A21B1" w:rsidP="00D007CD">
      <w:pPr>
        <w:pStyle w:val="Paragraphedeliste"/>
        <w:numPr>
          <w:ilvl w:val="0"/>
          <w:numId w:val="3"/>
        </w:numPr>
        <w:spacing w:after="0" w:line="240" w:lineRule="auto"/>
        <w:jc w:val="both"/>
        <w:rPr>
          <w:rFonts w:eastAsia="Times New Roman"/>
        </w:rPr>
      </w:pPr>
      <w:r w:rsidRPr="000B144B">
        <w:rPr>
          <w:rFonts w:eastAsia="Times New Roman"/>
          <w:b/>
          <w:bCs/>
        </w:rPr>
        <w:t>Un</w:t>
      </w:r>
      <w:r w:rsidR="003058C7" w:rsidRPr="000B144B">
        <w:rPr>
          <w:rFonts w:eastAsia="Times New Roman"/>
          <w:b/>
          <w:bCs/>
        </w:rPr>
        <w:t xml:space="preserve"> usage touristique des résidences secondaires ne détourne pas un autre usage plus permanent</w:t>
      </w:r>
      <w:r w:rsidR="003058C7" w:rsidRPr="000B144B">
        <w:rPr>
          <w:rFonts w:eastAsia="Times New Roman"/>
        </w:rPr>
        <w:t xml:space="preserve"> dans la mesure où leurs propriétaires jouissent de leur bien de toute façon plusieurs semaines dans l’année, en hiver et en été (principe même de la résidence secondaire). La réduction de l’abattement </w:t>
      </w:r>
      <w:r w:rsidR="003058C7" w:rsidRPr="000B144B">
        <w:rPr>
          <w:rFonts w:eastAsia="Times New Roman"/>
          <w:b/>
          <w:bCs/>
        </w:rPr>
        <w:t>ne remettra donc nullement du logement pour l’habitant permanent</w:t>
      </w:r>
      <w:r w:rsidR="003058C7" w:rsidRPr="000B144B">
        <w:rPr>
          <w:rFonts w:eastAsia="Times New Roman"/>
        </w:rPr>
        <w:t>.</w:t>
      </w:r>
    </w:p>
    <w:p w14:paraId="50B32425" w14:textId="77777777" w:rsidR="003058C7" w:rsidRDefault="003058C7" w:rsidP="00D007CD">
      <w:pPr>
        <w:spacing w:after="0"/>
        <w:jc w:val="both"/>
      </w:pPr>
    </w:p>
    <w:p w14:paraId="037E8520" w14:textId="6400C3AF" w:rsidR="00CC7497" w:rsidRDefault="00CC7497" w:rsidP="00D007CD">
      <w:pPr>
        <w:spacing w:after="0"/>
        <w:jc w:val="both"/>
      </w:pPr>
      <w:r>
        <w:t>L</w:t>
      </w:r>
      <w:r w:rsidR="002A21B1">
        <w:t>e</w:t>
      </w:r>
      <w:r w:rsidR="000B144B">
        <w:t xml:space="preserve"> S</w:t>
      </w:r>
      <w:r>
        <w:t xml:space="preserve">énat </w:t>
      </w:r>
      <w:r w:rsidR="000B144B">
        <w:t>vient d’</w:t>
      </w:r>
      <w:r>
        <w:t>adop</w:t>
      </w:r>
      <w:r w:rsidR="000B144B">
        <w:t>ter</w:t>
      </w:r>
      <w:r>
        <w:t xml:space="preserve"> un amendement </w:t>
      </w:r>
      <w:r w:rsidR="00100A3D">
        <w:t xml:space="preserve">(première lecture) </w:t>
      </w:r>
      <w:r w:rsidRPr="00D007CD">
        <w:rPr>
          <w:b/>
        </w:rPr>
        <w:t>alig</w:t>
      </w:r>
      <w:r w:rsidR="000B144B" w:rsidRPr="00D007CD">
        <w:rPr>
          <w:b/>
        </w:rPr>
        <w:t xml:space="preserve">nant </w:t>
      </w:r>
      <w:r w:rsidRPr="00D007CD">
        <w:rPr>
          <w:b/>
        </w:rPr>
        <w:t xml:space="preserve">l’abattement </w:t>
      </w:r>
      <w:r w:rsidR="000B144B" w:rsidRPr="00D007CD">
        <w:rPr>
          <w:b/>
        </w:rPr>
        <w:t>des</w:t>
      </w:r>
      <w:r w:rsidRPr="00D007CD">
        <w:rPr>
          <w:b/>
        </w:rPr>
        <w:t xml:space="preserve"> location nues </w:t>
      </w:r>
      <w:r w:rsidR="000B144B" w:rsidRPr="00D007CD">
        <w:rPr>
          <w:b/>
        </w:rPr>
        <w:t>aux</w:t>
      </w:r>
      <w:r w:rsidRPr="00D007CD">
        <w:rPr>
          <w:b/>
        </w:rPr>
        <w:t xml:space="preserve"> locations </w:t>
      </w:r>
      <w:r w:rsidR="000B144B" w:rsidRPr="00D007CD">
        <w:rPr>
          <w:b/>
        </w:rPr>
        <w:t xml:space="preserve">de </w:t>
      </w:r>
      <w:r w:rsidRPr="00D007CD">
        <w:rPr>
          <w:b/>
        </w:rPr>
        <w:t xml:space="preserve">meublé à 30% </w:t>
      </w:r>
      <w:r w:rsidR="000B144B" w:rsidRPr="00D007CD">
        <w:rPr>
          <w:b/>
        </w:rPr>
        <w:t xml:space="preserve">dans la limite de </w:t>
      </w:r>
      <w:r w:rsidRPr="00D007CD">
        <w:rPr>
          <w:b/>
        </w:rPr>
        <w:t>15 000 €</w:t>
      </w:r>
      <w:r w:rsidR="000B144B" w:rsidRPr="00D007CD">
        <w:rPr>
          <w:b/>
        </w:rPr>
        <w:t xml:space="preserve"> de recettes</w:t>
      </w:r>
      <w:r>
        <w:t>. Si cette so</w:t>
      </w:r>
      <w:r w:rsidR="000B144B">
        <w:t>luti</w:t>
      </w:r>
      <w:r>
        <w:t>on s’a</w:t>
      </w:r>
      <w:r w:rsidR="000B144B">
        <w:t xml:space="preserve">dapte </w:t>
      </w:r>
      <w:r>
        <w:t>à la situ</w:t>
      </w:r>
      <w:r w:rsidR="00FF50D2">
        <w:t>a</w:t>
      </w:r>
      <w:r>
        <w:t xml:space="preserve">tion de Biarritz, </w:t>
      </w:r>
      <w:r w:rsidRPr="00D007CD">
        <w:rPr>
          <w:b/>
        </w:rPr>
        <w:t>elle va en rev</w:t>
      </w:r>
      <w:r w:rsidR="000B144B" w:rsidRPr="00D007CD">
        <w:rPr>
          <w:b/>
        </w:rPr>
        <w:t>anche considérablement bouleverser l</w:t>
      </w:r>
      <w:r w:rsidRPr="00D007CD">
        <w:rPr>
          <w:b/>
        </w:rPr>
        <w:t>a location des meublés en stations de montagne</w:t>
      </w:r>
      <w:r w:rsidR="00FF50D2" w:rsidRPr="00D007CD">
        <w:rPr>
          <w:b/>
        </w:rPr>
        <w:t>, lesquel</w:t>
      </w:r>
      <w:r w:rsidR="00814EF7">
        <w:rPr>
          <w:b/>
        </w:rPr>
        <w:t>le</w:t>
      </w:r>
      <w:r w:rsidR="00FF50D2" w:rsidRPr="00D007CD">
        <w:rPr>
          <w:b/>
        </w:rPr>
        <w:t xml:space="preserve">s </w:t>
      </w:r>
      <w:r w:rsidR="00814EF7">
        <w:rPr>
          <w:b/>
        </w:rPr>
        <w:t xml:space="preserve">se </w:t>
      </w:r>
      <w:r w:rsidR="00FF50D2" w:rsidRPr="00D007CD">
        <w:rPr>
          <w:b/>
        </w:rPr>
        <w:t>reposent en très grande part</w:t>
      </w:r>
      <w:r w:rsidR="00D007CD">
        <w:rPr>
          <w:b/>
        </w:rPr>
        <w:t>i</w:t>
      </w:r>
      <w:r w:rsidR="00FF50D2" w:rsidRPr="00D007CD">
        <w:rPr>
          <w:b/>
        </w:rPr>
        <w:t xml:space="preserve">e sur ces locations pour accueillir les vacanciers. C’est toute l’activités des stations de montagne qui pourrait </w:t>
      </w:r>
      <w:r w:rsidR="00814EF7">
        <w:rPr>
          <w:b/>
        </w:rPr>
        <w:t xml:space="preserve">s’en trouver </w:t>
      </w:r>
      <w:r w:rsidR="00FF50D2" w:rsidRPr="00D007CD">
        <w:rPr>
          <w:b/>
        </w:rPr>
        <w:t>fragilisée</w:t>
      </w:r>
      <w:r w:rsidR="00FF50D2">
        <w:t xml:space="preserve">. </w:t>
      </w:r>
      <w:r>
        <w:t>Nous ne pouvons pas, vous ne pouvez pas laisse</w:t>
      </w:r>
      <w:r w:rsidR="00FF50D2">
        <w:t>r</w:t>
      </w:r>
      <w:r>
        <w:t xml:space="preserve"> faire cela</w:t>
      </w:r>
      <w:r w:rsidR="00FF50D2">
        <w:t>.</w:t>
      </w:r>
    </w:p>
    <w:p w14:paraId="27C5BC65" w14:textId="77777777" w:rsidR="00CC7497" w:rsidRDefault="00CC7497" w:rsidP="00D007CD">
      <w:pPr>
        <w:spacing w:after="0"/>
        <w:jc w:val="both"/>
      </w:pPr>
    </w:p>
    <w:p w14:paraId="67D94921" w14:textId="77777777" w:rsidR="003058C7" w:rsidRDefault="003058C7" w:rsidP="00D007CD">
      <w:pPr>
        <w:spacing w:after="0"/>
        <w:jc w:val="both"/>
      </w:pPr>
      <w:r>
        <w:t xml:space="preserve">Ce sujet est capital pour la survie de nos stations et de notre modèle touristique. </w:t>
      </w:r>
      <w:r w:rsidR="00CC7497">
        <w:t>Nous comptons sur votre mobilisation</w:t>
      </w:r>
      <w:r w:rsidR="00FF50D2">
        <w:t>.</w:t>
      </w:r>
    </w:p>
    <w:p w14:paraId="15D75A0C" w14:textId="77777777" w:rsidR="003058C7" w:rsidRDefault="003058C7" w:rsidP="00D007CD">
      <w:pPr>
        <w:spacing w:after="0"/>
        <w:jc w:val="both"/>
      </w:pPr>
    </w:p>
    <w:p w14:paraId="01A636C9" w14:textId="59F43ED3" w:rsidR="003058C7" w:rsidRDefault="003058C7" w:rsidP="00D007CD">
      <w:pPr>
        <w:spacing w:after="0"/>
        <w:jc w:val="both"/>
      </w:pPr>
      <w:r>
        <w:t xml:space="preserve">Nous vous prions d’agréer, </w:t>
      </w:r>
      <w:r w:rsidRPr="002A21B1">
        <w:t xml:space="preserve">Madame, Monsieur </w:t>
      </w:r>
      <w:r w:rsidR="002A21B1">
        <w:t>[</w:t>
      </w:r>
      <w:r w:rsidR="002A21B1" w:rsidRPr="00DF344B">
        <w:rPr>
          <w:i/>
          <w:iCs/>
          <w:color w:val="002060"/>
        </w:rPr>
        <w:t>NOM…</w:t>
      </w:r>
      <w:r w:rsidRPr="00DF344B">
        <w:rPr>
          <w:color w:val="002060"/>
        </w:rPr>
        <w:t>…</w:t>
      </w:r>
      <w:r w:rsidR="002A21B1" w:rsidRPr="00DF344B">
        <w:rPr>
          <w:color w:val="002060"/>
        </w:rPr>
        <w:t>]</w:t>
      </w:r>
      <w:r w:rsidRPr="002A21B1">
        <w:t>,</w:t>
      </w:r>
      <w:r>
        <w:t xml:space="preserve"> l’expression de notre considération distinguée.</w:t>
      </w:r>
    </w:p>
    <w:bookmarkEnd w:id="0"/>
    <w:p w14:paraId="609067E0" w14:textId="77777777" w:rsidR="003058C7" w:rsidRDefault="003058C7" w:rsidP="003058C7">
      <w:pPr>
        <w:spacing w:after="0"/>
        <w:jc w:val="both"/>
      </w:pPr>
    </w:p>
    <w:p w14:paraId="1EEDF8AF" w14:textId="77777777" w:rsidR="00100A3D" w:rsidRDefault="00100A3D" w:rsidP="003058C7">
      <w:pPr>
        <w:spacing w:after="0"/>
        <w:jc w:val="both"/>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DF344B" w:rsidRPr="00DF344B" w14:paraId="11FD2B1D" w14:textId="77777777" w:rsidTr="006419BB">
        <w:tc>
          <w:tcPr>
            <w:tcW w:w="4673" w:type="dxa"/>
          </w:tcPr>
          <w:p w14:paraId="2A6A1DA1" w14:textId="77777777" w:rsidR="00300233" w:rsidRPr="00DF344B" w:rsidRDefault="00300233" w:rsidP="006419BB">
            <w:pPr>
              <w:jc w:val="center"/>
              <w:rPr>
                <w:i/>
                <w:iCs/>
                <w:noProof/>
                <w:color w:val="002060"/>
                <w:lang w:eastAsia="fr-FR"/>
              </w:rPr>
            </w:pPr>
          </w:p>
          <w:p w14:paraId="43FF6AFA" w14:textId="77777777" w:rsidR="00300233" w:rsidRPr="00DF344B" w:rsidRDefault="00300233" w:rsidP="006419BB">
            <w:pPr>
              <w:jc w:val="center"/>
              <w:rPr>
                <w:i/>
                <w:iCs/>
                <w:color w:val="002060"/>
              </w:rPr>
            </w:pPr>
          </w:p>
          <w:p w14:paraId="38B7C938" w14:textId="77777777" w:rsidR="00300233" w:rsidRPr="00DF344B" w:rsidRDefault="00300233" w:rsidP="006419BB">
            <w:pPr>
              <w:jc w:val="center"/>
              <w:rPr>
                <w:i/>
                <w:iCs/>
                <w:color w:val="002060"/>
              </w:rPr>
            </w:pPr>
          </w:p>
          <w:p w14:paraId="7DAF3F5C" w14:textId="77777777" w:rsidR="00300233" w:rsidRPr="00DF344B" w:rsidRDefault="00300233" w:rsidP="006419BB">
            <w:pPr>
              <w:jc w:val="center"/>
              <w:rPr>
                <w:i/>
                <w:iCs/>
                <w:color w:val="002060"/>
              </w:rPr>
            </w:pPr>
          </w:p>
          <w:p w14:paraId="471E9A57" w14:textId="77777777" w:rsidR="00300233" w:rsidRPr="00DF344B" w:rsidRDefault="00300233" w:rsidP="006419BB">
            <w:pPr>
              <w:rPr>
                <w:i/>
                <w:iCs/>
                <w:color w:val="002060"/>
              </w:rPr>
            </w:pPr>
          </w:p>
          <w:p w14:paraId="7C13E76D" w14:textId="77777777" w:rsidR="00300233" w:rsidRPr="00DF344B" w:rsidRDefault="00300233" w:rsidP="006419BB">
            <w:pPr>
              <w:jc w:val="center"/>
              <w:rPr>
                <w:i/>
                <w:iCs/>
                <w:color w:val="002060"/>
              </w:rPr>
            </w:pPr>
          </w:p>
          <w:p w14:paraId="22A2290D" w14:textId="77777777" w:rsidR="00300233" w:rsidRPr="00DF344B" w:rsidRDefault="00300233" w:rsidP="006419BB">
            <w:pPr>
              <w:rPr>
                <w:i/>
                <w:iCs/>
                <w:color w:val="002060"/>
              </w:rPr>
            </w:pPr>
          </w:p>
          <w:p w14:paraId="420D934A" w14:textId="0EC37BD2" w:rsidR="00300233" w:rsidRPr="00DF344B" w:rsidRDefault="00300233" w:rsidP="006419BB">
            <w:pPr>
              <w:jc w:val="center"/>
              <w:rPr>
                <w:b/>
                <w:i/>
                <w:iCs/>
                <w:color w:val="002060"/>
                <w:highlight w:val="yellow"/>
              </w:rPr>
            </w:pPr>
          </w:p>
          <w:p w14:paraId="1DD8673C" w14:textId="7C71D897" w:rsidR="00300233" w:rsidRPr="00DF344B" w:rsidRDefault="00300233" w:rsidP="006419BB">
            <w:pPr>
              <w:jc w:val="center"/>
              <w:rPr>
                <w:i/>
                <w:iCs/>
                <w:color w:val="002060"/>
              </w:rPr>
            </w:pPr>
          </w:p>
        </w:tc>
      </w:tr>
    </w:tbl>
    <w:p w14:paraId="386BA17F" w14:textId="0336D4E3" w:rsidR="003058C7" w:rsidRPr="00DF344B" w:rsidRDefault="00DF344B" w:rsidP="003058C7">
      <w:pPr>
        <w:spacing w:after="0"/>
        <w:jc w:val="both"/>
        <w:rPr>
          <w:i/>
          <w:iCs/>
          <w:color w:val="002060"/>
        </w:rPr>
      </w:pPr>
      <w:r w:rsidRPr="00DF344B">
        <w:rPr>
          <w:i/>
          <w:iCs/>
          <w:color w:val="002060"/>
        </w:rPr>
        <w:t>Signature</w:t>
      </w:r>
    </w:p>
    <w:sectPr w:rsidR="003058C7" w:rsidRPr="00DF344B" w:rsidSect="00352B2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76C2"/>
    <w:multiLevelType w:val="hybridMultilevel"/>
    <w:tmpl w:val="12B89166"/>
    <w:lvl w:ilvl="0" w:tplc="7BE8E90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C1734D7"/>
    <w:multiLevelType w:val="multilevel"/>
    <w:tmpl w:val="D0CE2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D521DF"/>
    <w:multiLevelType w:val="multilevel"/>
    <w:tmpl w:val="4C54C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1657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4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346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C7"/>
    <w:rsid w:val="000B144B"/>
    <w:rsid w:val="00100A3D"/>
    <w:rsid w:val="001870B5"/>
    <w:rsid w:val="002A21B1"/>
    <w:rsid w:val="00300233"/>
    <w:rsid w:val="003058C7"/>
    <w:rsid w:val="003338EB"/>
    <w:rsid w:val="00340AB9"/>
    <w:rsid w:val="00352B2A"/>
    <w:rsid w:val="005212E3"/>
    <w:rsid w:val="005D40B6"/>
    <w:rsid w:val="006419BB"/>
    <w:rsid w:val="00814EF7"/>
    <w:rsid w:val="00AB73A2"/>
    <w:rsid w:val="00CC7497"/>
    <w:rsid w:val="00D007CD"/>
    <w:rsid w:val="00DD4F4E"/>
    <w:rsid w:val="00DF344B"/>
    <w:rsid w:val="00EB15D9"/>
    <w:rsid w:val="00ED1D1D"/>
    <w:rsid w:val="00F25FF1"/>
    <w:rsid w:val="00F6739A"/>
    <w:rsid w:val="00FF5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D0B6"/>
  <w15:chartTrackingRefBased/>
  <w15:docId w15:val="{C946BB0D-0AC8-4043-96E7-5FC161C8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8C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0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1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704</Words>
  <Characters>3874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RETAILLEAU</dc:creator>
  <cp:keywords/>
  <dc:description/>
  <cp:lastModifiedBy>Laurence Rivail</cp:lastModifiedBy>
  <cp:revision>4</cp:revision>
  <cp:lastPrinted>2023-11-28T11:44:00Z</cp:lastPrinted>
  <dcterms:created xsi:type="dcterms:W3CDTF">2024-01-19T14:24:00Z</dcterms:created>
  <dcterms:modified xsi:type="dcterms:W3CDTF">2024-01-19T14:34:00Z</dcterms:modified>
</cp:coreProperties>
</file>